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A56CD" w:rsidRPr="00FC2196" w:rsidRDefault="000A4EBC">
      <w:pPr>
        <w:widowControl w:val="0"/>
        <w:pBdr>
          <w:top w:val="nil"/>
          <w:left w:val="nil"/>
          <w:bottom w:val="nil"/>
          <w:right w:val="nil"/>
          <w:between w:val="nil"/>
        </w:pBdr>
        <w:jc w:val="center"/>
        <w:rPr>
          <w:b/>
          <w:color w:val="000000"/>
          <w:sz w:val="32"/>
          <w:szCs w:val="32"/>
          <w:u w:val="single"/>
        </w:rPr>
      </w:pPr>
      <w:r w:rsidRPr="00FC2196">
        <w:rPr>
          <w:rFonts w:eastAsia="Century"/>
          <w:b/>
          <w:color w:val="000000"/>
          <w:sz w:val="32"/>
          <w:szCs w:val="32"/>
          <w:u w:val="single"/>
        </w:rPr>
        <w:t>サポートコンサルティングサービス　契約書</w:t>
      </w:r>
    </w:p>
    <w:p w14:paraId="291244BD" w14:textId="77777777" w:rsidR="00E55CF8" w:rsidRDefault="00E55CF8">
      <w:pPr>
        <w:widowControl w:val="0"/>
        <w:pBdr>
          <w:top w:val="nil"/>
          <w:left w:val="nil"/>
          <w:bottom w:val="nil"/>
          <w:right w:val="nil"/>
          <w:between w:val="nil"/>
        </w:pBdr>
        <w:jc w:val="center"/>
        <w:rPr>
          <w:b/>
          <w:color w:val="000000"/>
          <w:sz w:val="28"/>
          <w:szCs w:val="28"/>
          <w:u w:val="single"/>
        </w:rPr>
      </w:pPr>
    </w:p>
    <w:p w14:paraId="3CE3D629" w14:textId="77777777" w:rsidR="00E55CF8" w:rsidRDefault="00E55CF8">
      <w:pPr>
        <w:widowControl w:val="0"/>
        <w:pBdr>
          <w:top w:val="nil"/>
          <w:left w:val="nil"/>
          <w:bottom w:val="nil"/>
          <w:right w:val="nil"/>
          <w:between w:val="nil"/>
        </w:pBdr>
        <w:jc w:val="center"/>
        <w:rPr>
          <w:b/>
          <w:color w:val="000000"/>
          <w:sz w:val="28"/>
          <w:szCs w:val="28"/>
          <w:u w:val="single"/>
        </w:rPr>
      </w:pPr>
    </w:p>
    <w:p w14:paraId="0B9BB206" w14:textId="77777777" w:rsidR="00E55CF8" w:rsidRPr="00E55CF8" w:rsidRDefault="00E55CF8">
      <w:pPr>
        <w:widowControl w:val="0"/>
        <w:pBdr>
          <w:top w:val="nil"/>
          <w:left w:val="nil"/>
          <w:bottom w:val="nil"/>
          <w:right w:val="nil"/>
          <w:between w:val="nil"/>
        </w:pBdr>
        <w:jc w:val="center"/>
        <w:rPr>
          <w:rFonts w:hint="eastAsia"/>
          <w:color w:val="000000"/>
          <w:sz w:val="28"/>
          <w:szCs w:val="28"/>
          <w:u w:val="single"/>
        </w:rPr>
      </w:pPr>
    </w:p>
    <w:p w14:paraId="00000002" w14:textId="77777777" w:rsidR="005A56CD" w:rsidRDefault="005A56CD">
      <w:pPr>
        <w:widowControl w:val="0"/>
        <w:pBdr>
          <w:top w:val="nil"/>
          <w:left w:val="nil"/>
          <w:bottom w:val="nil"/>
          <w:right w:val="nil"/>
          <w:between w:val="nil"/>
        </w:pBdr>
        <w:jc w:val="both"/>
        <w:rPr>
          <w:color w:val="000000"/>
          <w:sz w:val="21"/>
          <w:szCs w:val="21"/>
        </w:rPr>
      </w:pPr>
    </w:p>
    <w:p w14:paraId="00000003" w14:textId="77777777" w:rsidR="005A56CD" w:rsidRDefault="000A4EBC">
      <w:pPr>
        <w:widowControl w:val="0"/>
        <w:pBdr>
          <w:top w:val="nil"/>
          <w:left w:val="nil"/>
          <w:bottom w:val="nil"/>
          <w:right w:val="nil"/>
          <w:between w:val="nil"/>
        </w:pBdr>
        <w:ind w:firstLine="2520"/>
        <w:jc w:val="both"/>
        <w:rPr>
          <w:color w:val="000000"/>
          <w:sz w:val="21"/>
          <w:szCs w:val="21"/>
        </w:rPr>
      </w:pPr>
      <w:r>
        <w:rPr>
          <w:rFonts w:eastAsia="Century"/>
          <w:color w:val="000000"/>
          <w:sz w:val="21"/>
          <w:szCs w:val="21"/>
        </w:rPr>
        <w:t>（以下「甲」という）と</w:t>
      </w:r>
      <w:proofErr w:type="spellStart"/>
      <w:r>
        <w:rPr>
          <w:rFonts w:eastAsia="Century"/>
          <w:color w:val="000000"/>
          <w:sz w:val="21"/>
          <w:szCs w:val="21"/>
        </w:rPr>
        <w:t>infowave</w:t>
      </w:r>
      <w:proofErr w:type="spellEnd"/>
      <w:r>
        <w:rPr>
          <w:rFonts w:eastAsia="Century"/>
          <w:color w:val="000000"/>
          <w:sz w:val="21"/>
          <w:szCs w:val="21"/>
        </w:rPr>
        <w:t>（以下「乙」という）とは、乙が甲のために行う顧問業務に関して、次のとおり契約する。</w:t>
      </w:r>
    </w:p>
    <w:p w14:paraId="00000004" w14:textId="77777777" w:rsidR="005A56CD" w:rsidRDefault="000A4EBC">
      <w:pPr>
        <w:widowControl w:val="0"/>
        <w:pBdr>
          <w:top w:val="nil"/>
          <w:left w:val="nil"/>
          <w:bottom w:val="nil"/>
          <w:right w:val="nil"/>
          <w:between w:val="nil"/>
        </w:pBdr>
        <w:jc w:val="both"/>
        <w:rPr>
          <w:color w:val="000000"/>
          <w:sz w:val="21"/>
          <w:szCs w:val="21"/>
        </w:rPr>
      </w:pPr>
      <w:r>
        <w:rPr>
          <w:rFonts w:eastAsia="Century"/>
          <w:color w:val="000000"/>
          <w:sz w:val="21"/>
          <w:szCs w:val="21"/>
        </w:rPr>
        <w:t>下記契約の成立を証するため、本契約書を２通作成し、甲乙記名捺印の上各自１通を保有する。</w:t>
      </w:r>
    </w:p>
    <w:p w14:paraId="0F378A34" w14:textId="77777777" w:rsidR="00FC2196" w:rsidRDefault="00FC2196">
      <w:pPr>
        <w:widowControl w:val="0"/>
        <w:pBdr>
          <w:top w:val="nil"/>
          <w:left w:val="nil"/>
          <w:bottom w:val="nil"/>
          <w:right w:val="nil"/>
          <w:between w:val="nil"/>
        </w:pBdr>
        <w:jc w:val="both"/>
        <w:rPr>
          <w:color w:val="000000"/>
          <w:sz w:val="21"/>
          <w:szCs w:val="21"/>
        </w:rPr>
      </w:pPr>
    </w:p>
    <w:p w14:paraId="60BD9F77" w14:textId="77777777" w:rsidR="00FC2196" w:rsidRDefault="00FC2196">
      <w:pPr>
        <w:widowControl w:val="0"/>
        <w:pBdr>
          <w:top w:val="nil"/>
          <w:left w:val="nil"/>
          <w:bottom w:val="nil"/>
          <w:right w:val="nil"/>
          <w:between w:val="nil"/>
        </w:pBdr>
        <w:jc w:val="both"/>
        <w:rPr>
          <w:color w:val="000000"/>
          <w:sz w:val="21"/>
          <w:szCs w:val="21"/>
        </w:rPr>
      </w:pPr>
    </w:p>
    <w:p w14:paraId="659B895F" w14:textId="77777777" w:rsidR="00FC2196" w:rsidRPr="00FC2196" w:rsidRDefault="00FC2196">
      <w:pPr>
        <w:widowControl w:val="0"/>
        <w:pBdr>
          <w:top w:val="nil"/>
          <w:left w:val="nil"/>
          <w:bottom w:val="nil"/>
          <w:right w:val="nil"/>
          <w:between w:val="nil"/>
        </w:pBdr>
        <w:jc w:val="both"/>
        <w:rPr>
          <w:rFonts w:hint="eastAsia"/>
          <w:color w:val="000000"/>
          <w:sz w:val="21"/>
          <w:szCs w:val="21"/>
        </w:rPr>
      </w:pPr>
    </w:p>
    <w:p w14:paraId="00000005" w14:textId="316621C6" w:rsidR="005A56CD" w:rsidRDefault="00E55CF8">
      <w:pPr>
        <w:widowControl w:val="0"/>
        <w:pBdr>
          <w:top w:val="nil"/>
          <w:left w:val="nil"/>
          <w:bottom w:val="nil"/>
          <w:right w:val="nil"/>
          <w:between w:val="nil"/>
        </w:pBdr>
        <w:jc w:val="both"/>
        <w:rPr>
          <w:color w:val="000000"/>
          <w:sz w:val="21"/>
          <w:szCs w:val="21"/>
        </w:rPr>
      </w:pPr>
      <w:r>
        <w:rPr>
          <w:rFonts w:eastAsia="Century"/>
          <w:color w:val="000000"/>
          <w:sz w:val="21"/>
          <w:szCs w:val="21"/>
        </w:rPr>
        <w:t xml:space="preserve">令和  </w:t>
      </w:r>
      <w:r>
        <w:rPr>
          <w:rFonts w:hint="eastAsia"/>
          <w:color w:val="000000"/>
          <w:sz w:val="21"/>
          <w:szCs w:val="21"/>
        </w:rPr>
        <w:t>00</w:t>
      </w:r>
      <w:r w:rsidR="000A4EBC">
        <w:rPr>
          <w:rFonts w:eastAsia="Century"/>
          <w:color w:val="000000"/>
          <w:sz w:val="21"/>
          <w:szCs w:val="21"/>
        </w:rPr>
        <w:t xml:space="preserve">  </w:t>
      </w:r>
      <w:r w:rsidR="000A4EBC">
        <w:rPr>
          <w:rFonts w:eastAsia="Century"/>
          <w:color w:val="000000"/>
          <w:sz w:val="21"/>
          <w:szCs w:val="21"/>
        </w:rPr>
        <w:t>年</w:t>
      </w:r>
      <w:r w:rsidR="000A4EBC">
        <w:rPr>
          <w:rFonts w:eastAsia="Century"/>
          <w:color w:val="000000"/>
          <w:sz w:val="21"/>
          <w:szCs w:val="21"/>
        </w:rPr>
        <w:t xml:space="preserve">  10  </w:t>
      </w:r>
      <w:r w:rsidR="000A4EBC">
        <w:rPr>
          <w:rFonts w:eastAsia="Century"/>
          <w:color w:val="000000"/>
          <w:sz w:val="21"/>
          <w:szCs w:val="21"/>
        </w:rPr>
        <w:t>月</w:t>
      </w:r>
      <w:r w:rsidR="000A4EBC">
        <w:rPr>
          <w:rFonts w:eastAsia="Century"/>
          <w:color w:val="000000"/>
          <w:sz w:val="21"/>
          <w:szCs w:val="21"/>
        </w:rPr>
        <w:t xml:space="preserve">  01  </w:t>
      </w:r>
      <w:r w:rsidR="000A4EBC">
        <w:rPr>
          <w:rFonts w:eastAsia="Century"/>
          <w:color w:val="000000"/>
          <w:sz w:val="21"/>
          <w:szCs w:val="21"/>
        </w:rPr>
        <w:t>日</w:t>
      </w:r>
    </w:p>
    <w:p w14:paraId="00000006" w14:textId="77777777" w:rsidR="005A56CD" w:rsidRDefault="000A4EBC">
      <w:pPr>
        <w:widowControl w:val="0"/>
        <w:numPr>
          <w:ilvl w:val="0"/>
          <w:numId w:val="2"/>
        </w:numPr>
        <w:pBdr>
          <w:top w:val="nil"/>
          <w:left w:val="nil"/>
          <w:bottom w:val="nil"/>
          <w:right w:val="nil"/>
          <w:between w:val="nil"/>
        </w:pBdr>
        <w:jc w:val="both"/>
        <w:rPr>
          <w:color w:val="000000"/>
          <w:sz w:val="21"/>
          <w:szCs w:val="21"/>
          <w:u w:val="single"/>
        </w:rPr>
      </w:pPr>
      <w:r>
        <w:rPr>
          <w:rFonts w:eastAsia="Century"/>
          <w:color w:val="000000"/>
          <w:sz w:val="21"/>
          <w:szCs w:val="21"/>
          <w:u w:val="single"/>
        </w:rPr>
        <w:t>住所</w:t>
      </w:r>
    </w:p>
    <w:p w14:paraId="00000007" w14:textId="77777777" w:rsidR="005A56CD" w:rsidRDefault="005A56CD">
      <w:pPr>
        <w:widowControl w:val="0"/>
        <w:pBdr>
          <w:top w:val="nil"/>
          <w:left w:val="nil"/>
          <w:bottom w:val="nil"/>
          <w:right w:val="nil"/>
          <w:between w:val="nil"/>
        </w:pBdr>
        <w:ind w:left="4244"/>
        <w:jc w:val="both"/>
        <w:rPr>
          <w:color w:val="000000"/>
          <w:sz w:val="21"/>
          <w:szCs w:val="21"/>
          <w:u w:val="single"/>
        </w:rPr>
      </w:pPr>
    </w:p>
    <w:p w14:paraId="00000008" w14:textId="77777777" w:rsidR="005A56CD" w:rsidRDefault="000A4EBC">
      <w:pPr>
        <w:widowControl w:val="0"/>
        <w:pBdr>
          <w:top w:val="nil"/>
          <w:left w:val="nil"/>
          <w:bottom w:val="nil"/>
          <w:right w:val="nil"/>
          <w:between w:val="nil"/>
        </w:pBdr>
        <w:ind w:left="4244" w:firstLine="3465"/>
        <w:jc w:val="both"/>
        <w:rPr>
          <w:color w:val="000000"/>
          <w:sz w:val="21"/>
          <w:szCs w:val="21"/>
          <w:u w:val="single"/>
        </w:rPr>
      </w:pPr>
      <w:r>
        <w:rPr>
          <w:rFonts w:eastAsia="Century"/>
          <w:color w:val="000000"/>
          <w:sz w:val="21"/>
          <w:szCs w:val="21"/>
        </w:rPr>
        <w:t xml:space="preserve"> </w:t>
      </w:r>
    </w:p>
    <w:p w14:paraId="00000009" w14:textId="77777777" w:rsidR="005A56CD" w:rsidRDefault="000A4EBC">
      <w:pPr>
        <w:widowControl w:val="0"/>
        <w:numPr>
          <w:ilvl w:val="0"/>
          <w:numId w:val="2"/>
        </w:numPr>
        <w:pBdr>
          <w:top w:val="nil"/>
          <w:left w:val="nil"/>
          <w:bottom w:val="nil"/>
          <w:right w:val="nil"/>
          <w:between w:val="nil"/>
        </w:pBdr>
        <w:jc w:val="both"/>
        <w:rPr>
          <w:color w:val="000000"/>
          <w:sz w:val="21"/>
          <w:szCs w:val="21"/>
          <w:u w:val="single"/>
        </w:rPr>
      </w:pPr>
      <w:r>
        <w:rPr>
          <w:rFonts w:eastAsia="Century"/>
          <w:color w:val="000000"/>
          <w:sz w:val="21"/>
          <w:szCs w:val="21"/>
          <w:u w:val="single"/>
        </w:rPr>
        <w:t>住所</w:t>
      </w:r>
    </w:p>
    <w:p w14:paraId="0000000A" w14:textId="7FB3A01C" w:rsidR="005A56CD" w:rsidRDefault="000A4EBC">
      <w:pPr>
        <w:widowControl w:val="0"/>
        <w:pBdr>
          <w:top w:val="nil"/>
          <w:left w:val="nil"/>
          <w:bottom w:val="nil"/>
          <w:right w:val="nil"/>
          <w:between w:val="nil"/>
        </w:pBdr>
        <w:ind w:left="4244"/>
        <w:jc w:val="both"/>
        <w:rPr>
          <w:color w:val="000000"/>
          <w:sz w:val="21"/>
          <w:szCs w:val="21"/>
        </w:rPr>
      </w:pPr>
      <w:r>
        <w:rPr>
          <w:rFonts w:eastAsia="Century"/>
          <w:color w:val="000000"/>
          <w:sz w:val="21"/>
          <w:szCs w:val="21"/>
        </w:rPr>
        <w:t>沖縄県浦添市西原</w:t>
      </w:r>
      <w:r w:rsidR="00E55CF8">
        <w:rPr>
          <w:rFonts w:eastAsia="Century"/>
          <w:color w:val="000000"/>
          <w:sz w:val="21"/>
          <w:szCs w:val="21"/>
        </w:rPr>
        <w:t>4-34-2</w:t>
      </w:r>
    </w:p>
    <w:p w14:paraId="284AAC14" w14:textId="77777777" w:rsidR="00FC2196" w:rsidRDefault="000A4EBC">
      <w:pPr>
        <w:widowControl w:val="0"/>
        <w:pBdr>
          <w:top w:val="nil"/>
          <w:left w:val="nil"/>
          <w:bottom w:val="nil"/>
          <w:right w:val="nil"/>
          <w:between w:val="nil"/>
        </w:pBdr>
        <w:ind w:left="2879" w:firstLine="1"/>
        <w:jc w:val="both"/>
        <w:rPr>
          <w:rFonts w:eastAsia="Century"/>
          <w:color w:val="000000"/>
          <w:sz w:val="21"/>
          <w:szCs w:val="21"/>
        </w:rPr>
      </w:pPr>
      <w:r>
        <w:rPr>
          <w:rFonts w:eastAsia="Century"/>
          <w:color w:val="000000"/>
          <w:sz w:val="21"/>
          <w:szCs w:val="21"/>
        </w:rPr>
        <w:tab/>
      </w:r>
      <w:r>
        <w:rPr>
          <w:rFonts w:eastAsia="Century"/>
          <w:color w:val="000000"/>
          <w:sz w:val="21"/>
          <w:szCs w:val="21"/>
        </w:rPr>
        <w:tab/>
      </w:r>
      <w:proofErr w:type="spellStart"/>
      <w:r>
        <w:rPr>
          <w:rFonts w:eastAsia="Century"/>
          <w:color w:val="000000"/>
          <w:sz w:val="21"/>
          <w:szCs w:val="21"/>
        </w:rPr>
        <w:t>Infowave</w:t>
      </w:r>
      <w:proofErr w:type="spellEnd"/>
      <w:r>
        <w:rPr>
          <w:rFonts w:eastAsia="Century"/>
          <w:color w:val="000000"/>
          <w:sz w:val="21"/>
          <w:szCs w:val="21"/>
        </w:rPr>
        <w:t xml:space="preserve">  </w:t>
      </w:r>
      <w:r>
        <w:rPr>
          <w:rFonts w:eastAsia="Century"/>
          <w:color w:val="000000"/>
          <w:sz w:val="21"/>
          <w:szCs w:val="21"/>
        </w:rPr>
        <w:t>新垣　覚</w:t>
      </w:r>
      <w:r>
        <w:rPr>
          <w:rFonts w:eastAsia="Century"/>
          <w:color w:val="000000"/>
          <w:sz w:val="21"/>
          <w:szCs w:val="21"/>
        </w:rPr>
        <w:t xml:space="preserve">    </w:t>
      </w:r>
    </w:p>
    <w:p w14:paraId="61D0DC8A" w14:textId="77777777" w:rsidR="00FC2196" w:rsidRDefault="00FC2196">
      <w:pPr>
        <w:widowControl w:val="0"/>
        <w:pBdr>
          <w:top w:val="nil"/>
          <w:left w:val="nil"/>
          <w:bottom w:val="nil"/>
          <w:right w:val="nil"/>
          <w:between w:val="nil"/>
        </w:pBdr>
        <w:ind w:left="2879" w:firstLine="1"/>
        <w:jc w:val="both"/>
        <w:rPr>
          <w:rFonts w:eastAsia="Century"/>
          <w:color w:val="000000"/>
          <w:sz w:val="21"/>
          <w:szCs w:val="21"/>
        </w:rPr>
      </w:pPr>
    </w:p>
    <w:p w14:paraId="24A9826F" w14:textId="77777777" w:rsidR="00FC2196" w:rsidRDefault="00FC2196">
      <w:pPr>
        <w:widowControl w:val="0"/>
        <w:pBdr>
          <w:top w:val="nil"/>
          <w:left w:val="nil"/>
          <w:bottom w:val="nil"/>
          <w:right w:val="nil"/>
          <w:between w:val="nil"/>
        </w:pBdr>
        <w:ind w:left="2879" w:firstLine="1"/>
        <w:jc w:val="both"/>
        <w:rPr>
          <w:rFonts w:eastAsia="Century"/>
          <w:color w:val="000000"/>
          <w:sz w:val="21"/>
          <w:szCs w:val="21"/>
        </w:rPr>
      </w:pPr>
    </w:p>
    <w:p w14:paraId="15FDB02C" w14:textId="77777777" w:rsidR="00FC2196" w:rsidRDefault="00FC2196">
      <w:pPr>
        <w:widowControl w:val="0"/>
        <w:pBdr>
          <w:top w:val="nil"/>
          <w:left w:val="nil"/>
          <w:bottom w:val="nil"/>
          <w:right w:val="nil"/>
          <w:between w:val="nil"/>
        </w:pBdr>
        <w:ind w:left="2879" w:firstLine="1"/>
        <w:jc w:val="both"/>
        <w:rPr>
          <w:rFonts w:eastAsia="Century"/>
          <w:color w:val="000000"/>
          <w:sz w:val="21"/>
          <w:szCs w:val="21"/>
        </w:rPr>
      </w:pPr>
    </w:p>
    <w:p w14:paraId="0000000B" w14:textId="53B8563A" w:rsidR="005A56CD" w:rsidRDefault="000A4EBC">
      <w:pPr>
        <w:widowControl w:val="0"/>
        <w:pBdr>
          <w:top w:val="nil"/>
          <w:left w:val="nil"/>
          <w:bottom w:val="nil"/>
          <w:right w:val="nil"/>
          <w:between w:val="nil"/>
        </w:pBdr>
        <w:ind w:left="2879" w:firstLine="1"/>
        <w:jc w:val="both"/>
        <w:rPr>
          <w:color w:val="000000"/>
          <w:sz w:val="21"/>
          <w:szCs w:val="21"/>
        </w:rPr>
      </w:pPr>
      <w:r>
        <w:rPr>
          <w:rFonts w:eastAsia="Century"/>
          <w:color w:val="000000"/>
          <w:sz w:val="21"/>
          <w:szCs w:val="21"/>
        </w:rPr>
        <w:t xml:space="preserve">            </w:t>
      </w:r>
    </w:p>
    <w:p w14:paraId="0000000C" w14:textId="77777777" w:rsidR="005A56CD" w:rsidRDefault="005A56CD">
      <w:pPr>
        <w:widowControl w:val="0"/>
        <w:pBdr>
          <w:top w:val="nil"/>
          <w:left w:val="nil"/>
          <w:bottom w:val="nil"/>
          <w:right w:val="nil"/>
          <w:between w:val="nil"/>
        </w:pBdr>
        <w:jc w:val="both"/>
        <w:rPr>
          <w:color w:val="000000"/>
          <w:sz w:val="21"/>
          <w:szCs w:val="21"/>
        </w:rPr>
      </w:pPr>
    </w:p>
    <w:p w14:paraId="0000000D"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（契約の成立）</w:t>
      </w:r>
    </w:p>
    <w:p w14:paraId="0000000E" w14:textId="77777777"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甲は、乙に対し、乙が甲の顧問としてビジネスのコンサルティング業務を行うことを委託し、乙はこれを承諾した。</w:t>
      </w:r>
    </w:p>
    <w:p w14:paraId="0000000F"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（誠実業務）</w:t>
      </w:r>
    </w:p>
    <w:p w14:paraId="00000010" w14:textId="77777777"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乙は、甲の顧問として、甲の最善の利益を図るべく顧問業務を誠実に遂行するものとする。</w:t>
      </w:r>
    </w:p>
    <w:p w14:paraId="00000011"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（報酬）</w:t>
      </w:r>
    </w:p>
    <w:p w14:paraId="00000012" w14:textId="1E3C1E30" w:rsidR="005A56CD" w:rsidRDefault="00E55CF8" w:rsidP="00E55CF8">
      <w:pPr>
        <w:widowControl w:val="0"/>
        <w:pBdr>
          <w:top w:val="nil"/>
          <w:left w:val="nil"/>
          <w:bottom w:val="nil"/>
          <w:right w:val="nil"/>
          <w:between w:val="nil"/>
        </w:pBdr>
        <w:ind w:left="825"/>
        <w:jc w:val="both"/>
        <w:rPr>
          <w:color w:val="000000"/>
          <w:sz w:val="21"/>
          <w:szCs w:val="21"/>
        </w:rPr>
      </w:pPr>
      <w:r>
        <w:rPr>
          <w:rFonts w:eastAsia="Century"/>
          <w:color w:val="000000"/>
          <w:sz w:val="21"/>
          <w:szCs w:val="21"/>
        </w:rPr>
        <w:t>甲は、乙に対し、顧問報酬として６ヶ月分の金</w:t>
      </w:r>
      <w:r>
        <w:rPr>
          <w:rFonts w:hint="eastAsia"/>
          <w:color w:val="000000"/>
          <w:sz w:val="21"/>
          <w:szCs w:val="21"/>
        </w:rPr>
        <w:t>30</w:t>
      </w:r>
      <w:r w:rsidR="000A4EBC">
        <w:rPr>
          <w:rFonts w:eastAsia="Century"/>
          <w:color w:val="000000"/>
          <w:sz w:val="21"/>
          <w:szCs w:val="21"/>
        </w:rPr>
        <w:t>万円を契約締結後</w:t>
      </w:r>
      <w:r>
        <w:rPr>
          <w:rFonts w:hint="eastAsia"/>
          <w:color w:val="000000"/>
          <w:sz w:val="21"/>
          <w:szCs w:val="21"/>
        </w:rPr>
        <w:t>,</w:t>
      </w:r>
      <w:r>
        <w:rPr>
          <w:color w:val="000000"/>
          <w:sz w:val="21"/>
          <w:szCs w:val="21"/>
        </w:rPr>
        <w:t>最初のコンサルティング前に銀行振込みで</w:t>
      </w:r>
      <w:r w:rsidR="000A4EBC">
        <w:rPr>
          <w:rFonts w:eastAsia="Century"/>
          <w:color w:val="000000"/>
          <w:sz w:val="21"/>
          <w:szCs w:val="21"/>
        </w:rPr>
        <w:t>支払う事とする。</w:t>
      </w:r>
    </w:p>
    <w:p w14:paraId="00000013"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（費用）</w:t>
      </w:r>
    </w:p>
    <w:p w14:paraId="00000014" w14:textId="77777777"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乙が、甲の顧問業務遂行のために費用を必要とする場合は、事前に、甲乙間の協議により、負担者及び支払方法を書面によって決定するものとする。</w:t>
      </w:r>
    </w:p>
    <w:p w14:paraId="00000015"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（秘密保持義務）</w:t>
      </w:r>
    </w:p>
    <w:p w14:paraId="00000016" w14:textId="77777777"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乙は、顧問業務遂行上、乙において覚知した甲の業務内容等について、第三者に漏洩してはならない。</w:t>
      </w:r>
    </w:p>
    <w:p w14:paraId="00000017"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（競業等避止業務）</w:t>
      </w:r>
    </w:p>
    <w:p w14:paraId="00000018" w14:textId="77777777"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乙は、甲と同種の事業を営む場合又は甲と同種事業を営む会社等と顧問契約を締結する場合には、事前に甲の承諾を受けるものとする。</w:t>
      </w:r>
    </w:p>
    <w:p w14:paraId="00000019" w14:textId="77777777" w:rsidR="005A56CD" w:rsidRDefault="000A4EBC">
      <w:pPr>
        <w:widowControl w:val="0"/>
        <w:numPr>
          <w:ilvl w:val="0"/>
          <w:numId w:val="1"/>
        </w:numPr>
        <w:pBdr>
          <w:top w:val="nil"/>
          <w:left w:val="nil"/>
          <w:bottom w:val="nil"/>
          <w:right w:val="nil"/>
          <w:between w:val="nil"/>
        </w:pBdr>
        <w:ind w:left="720"/>
        <w:jc w:val="both"/>
        <w:rPr>
          <w:color w:val="000000"/>
          <w:sz w:val="21"/>
          <w:szCs w:val="21"/>
        </w:rPr>
      </w:pPr>
      <w:r>
        <w:rPr>
          <w:rFonts w:eastAsia="Century"/>
          <w:color w:val="000000"/>
          <w:sz w:val="21"/>
          <w:szCs w:val="21"/>
        </w:rPr>
        <w:t>（契約期間）</w:t>
      </w:r>
    </w:p>
    <w:p w14:paraId="0000001A" w14:textId="43B8E90E" w:rsidR="005A56CD" w:rsidRDefault="000A4EBC">
      <w:pPr>
        <w:widowControl w:val="0"/>
        <w:pBdr>
          <w:top w:val="nil"/>
          <w:left w:val="nil"/>
          <w:bottom w:val="nil"/>
          <w:right w:val="nil"/>
          <w:between w:val="nil"/>
        </w:pBdr>
        <w:ind w:left="825"/>
        <w:jc w:val="both"/>
        <w:rPr>
          <w:color w:val="000000"/>
          <w:sz w:val="21"/>
          <w:szCs w:val="21"/>
        </w:rPr>
      </w:pPr>
      <w:r>
        <w:rPr>
          <w:rFonts w:eastAsia="Century"/>
          <w:color w:val="000000"/>
          <w:sz w:val="21"/>
          <w:szCs w:val="21"/>
        </w:rPr>
        <w:t>本契約期間は、令和</w:t>
      </w:r>
      <w:r>
        <w:rPr>
          <w:rFonts w:hint="eastAsia"/>
          <w:color w:val="000000"/>
          <w:sz w:val="21"/>
          <w:szCs w:val="21"/>
        </w:rPr>
        <w:t>00</w:t>
      </w:r>
      <w:r>
        <w:rPr>
          <w:rFonts w:eastAsia="Century"/>
          <w:color w:val="000000"/>
          <w:sz w:val="21"/>
          <w:szCs w:val="21"/>
        </w:rPr>
        <w:t>年</w:t>
      </w:r>
      <w:r>
        <w:rPr>
          <w:rFonts w:eastAsia="Century"/>
          <w:color w:val="000000"/>
          <w:sz w:val="21"/>
          <w:szCs w:val="21"/>
        </w:rPr>
        <w:t>03</w:t>
      </w:r>
      <w:r>
        <w:rPr>
          <w:rFonts w:eastAsia="Century"/>
          <w:color w:val="000000"/>
          <w:sz w:val="21"/>
          <w:szCs w:val="21"/>
        </w:rPr>
        <w:t>月</w:t>
      </w:r>
      <w:r>
        <w:rPr>
          <w:rFonts w:eastAsia="Century"/>
          <w:color w:val="000000"/>
          <w:sz w:val="21"/>
          <w:szCs w:val="21"/>
        </w:rPr>
        <w:t>31</w:t>
      </w:r>
      <w:r>
        <w:rPr>
          <w:rFonts w:eastAsia="Century"/>
          <w:color w:val="000000"/>
          <w:sz w:val="21"/>
          <w:szCs w:val="21"/>
        </w:rPr>
        <w:t>日までとする。ただし、双方の合意により期間を延長する事も可能とする。</w:t>
      </w:r>
      <w:bookmarkStart w:id="0" w:name="_GoBack"/>
      <w:bookmarkEnd w:id="0"/>
    </w:p>
    <w:sectPr w:rsidR="005A56CD">
      <w:pgSz w:w="11906" w:h="16838"/>
      <w:pgMar w:top="1418"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19"/>
    <w:multiLevelType w:val="multilevel"/>
    <w:tmpl w:val="ED5A5422"/>
    <w:lvl w:ilvl="0">
      <w:start w:val="1"/>
      <w:numFmt w:val="decimal"/>
      <w:lvlText w:val="（%1）"/>
      <w:lvlJc w:val="left"/>
      <w:pPr>
        <w:ind w:left="4244" w:hanging="735"/>
      </w:pPr>
      <w:rPr>
        <w:vertAlign w:val="baseline"/>
      </w:rPr>
    </w:lvl>
    <w:lvl w:ilvl="1">
      <w:start w:val="1"/>
      <w:numFmt w:val="decimal"/>
      <w:lvlText w:val="(%2)"/>
      <w:lvlJc w:val="left"/>
      <w:pPr>
        <w:ind w:left="4349" w:hanging="420"/>
      </w:pPr>
      <w:rPr>
        <w:vertAlign w:val="baseline"/>
      </w:rPr>
    </w:lvl>
    <w:lvl w:ilvl="2">
      <w:start w:val="1"/>
      <w:numFmt w:val="decimal"/>
      <w:lvlText w:val="%3"/>
      <w:lvlJc w:val="left"/>
      <w:pPr>
        <w:ind w:left="4769" w:hanging="420"/>
      </w:pPr>
      <w:rPr>
        <w:vertAlign w:val="baseline"/>
      </w:rPr>
    </w:lvl>
    <w:lvl w:ilvl="3">
      <w:start w:val="1"/>
      <w:numFmt w:val="decimal"/>
      <w:lvlText w:val="%4."/>
      <w:lvlJc w:val="left"/>
      <w:pPr>
        <w:ind w:left="5189" w:hanging="420"/>
      </w:pPr>
      <w:rPr>
        <w:vertAlign w:val="baseline"/>
      </w:rPr>
    </w:lvl>
    <w:lvl w:ilvl="4">
      <w:start w:val="1"/>
      <w:numFmt w:val="decimal"/>
      <w:lvlText w:val="(%5)"/>
      <w:lvlJc w:val="left"/>
      <w:pPr>
        <w:ind w:left="5609" w:hanging="420"/>
      </w:pPr>
      <w:rPr>
        <w:vertAlign w:val="baseline"/>
      </w:rPr>
    </w:lvl>
    <w:lvl w:ilvl="5">
      <w:start w:val="1"/>
      <w:numFmt w:val="decimal"/>
      <w:lvlText w:val="%6"/>
      <w:lvlJc w:val="left"/>
      <w:pPr>
        <w:ind w:left="6029" w:hanging="420"/>
      </w:pPr>
      <w:rPr>
        <w:vertAlign w:val="baseline"/>
      </w:rPr>
    </w:lvl>
    <w:lvl w:ilvl="6">
      <w:start w:val="1"/>
      <w:numFmt w:val="decimal"/>
      <w:lvlText w:val="%7."/>
      <w:lvlJc w:val="left"/>
      <w:pPr>
        <w:ind w:left="6449" w:hanging="420"/>
      </w:pPr>
      <w:rPr>
        <w:vertAlign w:val="baseline"/>
      </w:rPr>
    </w:lvl>
    <w:lvl w:ilvl="7">
      <w:start w:val="1"/>
      <w:numFmt w:val="decimal"/>
      <w:lvlText w:val="(%8)"/>
      <w:lvlJc w:val="left"/>
      <w:pPr>
        <w:ind w:left="6869" w:hanging="420"/>
      </w:pPr>
      <w:rPr>
        <w:vertAlign w:val="baseline"/>
      </w:rPr>
    </w:lvl>
    <w:lvl w:ilvl="8">
      <w:start w:val="1"/>
      <w:numFmt w:val="decimal"/>
      <w:lvlText w:val="%9"/>
      <w:lvlJc w:val="left"/>
      <w:pPr>
        <w:ind w:left="7289" w:hanging="420"/>
      </w:pPr>
      <w:rPr>
        <w:vertAlign w:val="baseline"/>
      </w:rPr>
    </w:lvl>
  </w:abstractNum>
  <w:abstractNum w:abstractNumId="1" w15:restartNumberingAfterBreak="0">
    <w:nsid w:val="685967A0"/>
    <w:multiLevelType w:val="multilevel"/>
    <w:tmpl w:val="491AD1EC"/>
    <w:lvl w:ilvl="0">
      <w:start w:val="1"/>
      <w:numFmt w:val="decimal"/>
      <w:lvlText w:val="第%1条"/>
      <w:lvlJc w:val="left"/>
      <w:pPr>
        <w:ind w:left="1155" w:hanging="735"/>
      </w:pPr>
      <w:rPr>
        <w:vertAlign w:val="baseline"/>
      </w:rPr>
    </w:lvl>
    <w:lvl w:ilvl="1">
      <w:start w:val="1"/>
      <w:numFmt w:val="decimal"/>
      <w:lvlText w:val="%2"/>
      <w:lvlJc w:val="left"/>
      <w:pPr>
        <w:ind w:left="780" w:hanging="36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CD"/>
    <w:rsid w:val="000A4EBC"/>
    <w:rsid w:val="005A56CD"/>
    <w:rsid w:val="00E55CF8"/>
    <w:rsid w:val="00FC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0FFEAA5-8996-4E5C-924D-08AA4C38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新垣覚</dc:creator>
  <cp:lastModifiedBy>Microsoft アカウント</cp:lastModifiedBy>
  <cp:revision>4</cp:revision>
  <dcterms:created xsi:type="dcterms:W3CDTF">2022-02-24T06:38:00Z</dcterms:created>
  <dcterms:modified xsi:type="dcterms:W3CDTF">2022-02-24T06:39:00Z</dcterms:modified>
</cp:coreProperties>
</file>